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AEF" w:rsidRPr="008D6AEF" w:rsidRDefault="008D6AEF" w:rsidP="008D6AEF">
      <w:pPr>
        <w:pStyle w:val="ConsPlusNormal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8D6AEF" w:rsidRPr="008D6AEF" w:rsidRDefault="008D6AEF" w:rsidP="008D6AEF">
      <w:pPr>
        <w:pStyle w:val="ConsPlusNormal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Финансового управления Администрации муниципального района Хайбуллинский район Республики Башкортостан</w:t>
      </w:r>
    </w:p>
    <w:p w:rsidR="008D6AEF" w:rsidRPr="008D6AEF" w:rsidRDefault="008D6AEF" w:rsidP="008D6AEF">
      <w:pPr>
        <w:pStyle w:val="ConsPlusNormal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140D77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40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40D77">
        <w:rPr>
          <w:rFonts w:ascii="Times New Roman" w:hAnsi="Times New Roman" w:cs="Times New Roman"/>
          <w:color w:val="000000" w:themeColor="text1"/>
          <w:sz w:val="24"/>
          <w:szCs w:val="24"/>
        </w:rPr>
        <w:t>19 года</w:t>
      </w: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40D77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7D07" w:rsidRPr="008D6AEF" w:rsidRDefault="00B17D07" w:rsidP="008D6AE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B17D07" w:rsidRPr="008D6AEF" w:rsidRDefault="00B17D07" w:rsidP="008D6AE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указанными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предусмотренного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«О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контрактной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нужд»,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утвержденных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постановлением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Правительства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декабря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1367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устанавливает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нужд»,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1367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применяется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44-ФЗ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нужд»,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соответственно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контроль,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закон).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контролируемая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Региональной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нужд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Региональная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информационная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форматами,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функционирования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1414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форматы);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съемном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машинном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Региональной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форматам)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форматам).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подписаны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подписью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формах: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контракта);</w:t>
      </w:r>
    </w:p>
    <w:p w:rsidR="00B17D07" w:rsidRPr="008D6AEF" w:rsidRDefault="00B17D07" w:rsidP="008D6AEF">
      <w:pPr>
        <w:rPr>
          <w:color w:val="000000"/>
          <w:sz w:val="24"/>
        </w:rPr>
      </w:pPr>
      <w:r w:rsidRPr="008D6AEF">
        <w:rPr>
          <w:color w:val="000000"/>
          <w:sz w:val="24"/>
        </w:rPr>
        <w:t>сведения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о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контракте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(его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изменении),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включаемые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в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реестр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контрактов,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содержащий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сведения,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составляющие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государственную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тайну,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-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по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форме,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установленной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законодательством.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экземплярах.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съемном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машинном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идентичность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носителях.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номер,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дату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экземпляр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зачеркивания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неправильного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чертой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прочитать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исправленное,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написания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зачеркнутым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текстом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текста.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оговорено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надписью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«исправлено»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заверено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лицом,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исправления.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подписываются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лицом,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составляющие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тайну,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соблюдением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тайны.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«а»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контролируемую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включенную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«а»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AB">
        <w:rPr>
          <w:rFonts w:ascii="Times New Roman" w:hAnsi="Times New Roman" w:cs="Times New Roman"/>
          <w:color w:val="000000"/>
          <w:sz w:val="24"/>
          <w:szCs w:val="24"/>
        </w:rPr>
        <w:t>приказом финансового управления А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AB">
        <w:rPr>
          <w:rFonts w:ascii="Times New Roman" w:hAnsi="Times New Roman" w:cs="Times New Roman"/>
          <w:color w:val="000000"/>
          <w:sz w:val="24"/>
          <w:szCs w:val="24"/>
        </w:rPr>
        <w:t xml:space="preserve">от 09.01.2018 года №4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обязательств;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объемах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(проектах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обсуждения)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документах,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предусматривающих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срок,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превышающий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закупках,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истечении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периода;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автономных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br/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выплат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расходам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отраженных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таблице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финансово-хозяйственной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(муниципального)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81н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ФХД);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заключившего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капитальных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вложений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78.2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поставленного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являющихся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(закрытыми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поставленное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уменьшении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сводной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росписи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росписей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распорядителей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(главных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администраторов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дефицита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AB">
        <w:rPr>
          <w:rFonts w:ascii="Times New Roman" w:hAnsi="Times New Roman" w:cs="Times New Roman"/>
          <w:color w:val="000000"/>
          <w:sz w:val="24"/>
          <w:szCs w:val="24"/>
        </w:rPr>
        <w:t>21.11.2019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AB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исполнение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возникающих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уменьшении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выплат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ФХД;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уменьшении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объемов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капитальных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вложений,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соглашениях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капитальных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вложений,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78.2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(максимальных)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очередном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периоде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пределами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периода,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объемом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содержащегося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(них)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признанным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победителем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предложившим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победителя,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признана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ценой,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(контракт,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возвращаемый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(них):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информацию,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включаемую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включаемые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закрытый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контракте);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«г»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особенностей: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органами,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учреждениями,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осуществляющими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(исполнителей,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подрядчиков)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организатором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совместных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аукционов,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проводимых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признанным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победителем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предложившим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победителя,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признана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</w:t>
      </w:r>
      <w:bookmarkStart w:id="0" w:name="_GoBack"/>
      <w:bookmarkEnd w:id="0"/>
      <w:r w:rsidRPr="008D6AEF">
        <w:rPr>
          <w:rFonts w:ascii="Times New Roman" w:hAnsi="Times New Roman" w:cs="Times New Roman"/>
          <w:color w:val="000000"/>
          <w:sz w:val="24"/>
          <w:szCs w:val="24"/>
        </w:rPr>
        <w:t>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ценой,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(контракт,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возвращаемый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указываемым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отдельной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строкой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платежах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учетом:</w:t>
      </w:r>
    </w:p>
    <w:p w:rsidR="00B17D07" w:rsidRPr="008D6AEF" w:rsidRDefault="008D6AEF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цене,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размещенных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извещениях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закупке,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проектах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единственному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(подрядчику,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исполнителю)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закупок,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которым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завершены;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несколькими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случаях,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ценой,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уведомлением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образований,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внебюджетными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фондами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нужд»,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1367,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120н,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формирует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Региональной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размещаются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(исполнителем,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подрядчиком),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размещаются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истечении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отрицательного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7D07" w:rsidRPr="008D6AEF" w:rsidSect="005D0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74" w:rsidRDefault="00653074" w:rsidP="009470C4">
      <w:r>
        <w:separator/>
      </w:r>
    </w:p>
  </w:endnote>
  <w:endnote w:type="continuationSeparator" w:id="0">
    <w:p w:rsidR="00653074" w:rsidRDefault="00653074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74" w:rsidRDefault="00653074" w:rsidP="009470C4">
      <w:r>
        <w:separator/>
      </w:r>
    </w:p>
  </w:footnote>
  <w:footnote w:type="continuationSeparator" w:id="0">
    <w:p w:rsidR="00653074" w:rsidRDefault="00653074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AC750A">
    <w:pPr>
      <w:pStyle w:val="a6"/>
      <w:jc w:val="center"/>
    </w:pPr>
    <w:fldSimple w:instr="PAGE   \* MERGEFORMAT">
      <w:r w:rsidR="00140D77">
        <w:rPr>
          <w:noProof/>
        </w:rPr>
        <w:t>2</w:t>
      </w:r>
    </w:fldSimple>
  </w:p>
  <w:p w:rsidR="00B17D07" w:rsidRDefault="00B17D07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14C62"/>
    <w:rsid w:val="0004715C"/>
    <w:rsid w:val="00064F4E"/>
    <w:rsid w:val="00092513"/>
    <w:rsid w:val="0009366E"/>
    <w:rsid w:val="000B4BBD"/>
    <w:rsid w:val="000B51B8"/>
    <w:rsid w:val="000B5F4A"/>
    <w:rsid w:val="000B6F06"/>
    <w:rsid w:val="000D05CB"/>
    <w:rsid w:val="000E165D"/>
    <w:rsid w:val="000E3BCE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40D77"/>
    <w:rsid w:val="00152D87"/>
    <w:rsid w:val="0018535B"/>
    <w:rsid w:val="00191BFD"/>
    <w:rsid w:val="001E73A7"/>
    <w:rsid w:val="001F13A4"/>
    <w:rsid w:val="001F2686"/>
    <w:rsid w:val="001F44B8"/>
    <w:rsid w:val="001F5FF0"/>
    <w:rsid w:val="00213D72"/>
    <w:rsid w:val="002150F2"/>
    <w:rsid w:val="00225C28"/>
    <w:rsid w:val="002307EA"/>
    <w:rsid w:val="00233138"/>
    <w:rsid w:val="002407D8"/>
    <w:rsid w:val="00250788"/>
    <w:rsid w:val="0025272D"/>
    <w:rsid w:val="0025742E"/>
    <w:rsid w:val="00264532"/>
    <w:rsid w:val="00280902"/>
    <w:rsid w:val="00296F86"/>
    <w:rsid w:val="002C0143"/>
    <w:rsid w:val="002C099E"/>
    <w:rsid w:val="002D11AE"/>
    <w:rsid w:val="002D79B4"/>
    <w:rsid w:val="002E3153"/>
    <w:rsid w:val="002E3A99"/>
    <w:rsid w:val="002F2AF8"/>
    <w:rsid w:val="00300ADE"/>
    <w:rsid w:val="0030249A"/>
    <w:rsid w:val="00306FE6"/>
    <w:rsid w:val="003441A4"/>
    <w:rsid w:val="00347EC9"/>
    <w:rsid w:val="0035003A"/>
    <w:rsid w:val="003573B5"/>
    <w:rsid w:val="003615FF"/>
    <w:rsid w:val="003642E9"/>
    <w:rsid w:val="0036435A"/>
    <w:rsid w:val="003757DD"/>
    <w:rsid w:val="00375F33"/>
    <w:rsid w:val="003937E0"/>
    <w:rsid w:val="003A107A"/>
    <w:rsid w:val="003A1CC5"/>
    <w:rsid w:val="003B142B"/>
    <w:rsid w:val="003C2F3D"/>
    <w:rsid w:val="003C4F07"/>
    <w:rsid w:val="003C6AD5"/>
    <w:rsid w:val="003E4998"/>
    <w:rsid w:val="003F1FF7"/>
    <w:rsid w:val="004049AF"/>
    <w:rsid w:val="00426326"/>
    <w:rsid w:val="00427A7B"/>
    <w:rsid w:val="0044373B"/>
    <w:rsid w:val="004449A9"/>
    <w:rsid w:val="00450F8B"/>
    <w:rsid w:val="00467997"/>
    <w:rsid w:val="00492BD2"/>
    <w:rsid w:val="004933AD"/>
    <w:rsid w:val="00494743"/>
    <w:rsid w:val="004A255D"/>
    <w:rsid w:val="004B72B7"/>
    <w:rsid w:val="004B7AD8"/>
    <w:rsid w:val="004D4705"/>
    <w:rsid w:val="004D6F2E"/>
    <w:rsid w:val="004E4C31"/>
    <w:rsid w:val="004F5867"/>
    <w:rsid w:val="005112A4"/>
    <w:rsid w:val="005264FE"/>
    <w:rsid w:val="0054174D"/>
    <w:rsid w:val="00543A38"/>
    <w:rsid w:val="00592C0C"/>
    <w:rsid w:val="005968F7"/>
    <w:rsid w:val="005A49EA"/>
    <w:rsid w:val="005B666B"/>
    <w:rsid w:val="005B6978"/>
    <w:rsid w:val="005B7993"/>
    <w:rsid w:val="005C102D"/>
    <w:rsid w:val="005C1D7F"/>
    <w:rsid w:val="005D04AF"/>
    <w:rsid w:val="005D553A"/>
    <w:rsid w:val="005E4871"/>
    <w:rsid w:val="005F25C4"/>
    <w:rsid w:val="006105A2"/>
    <w:rsid w:val="00636200"/>
    <w:rsid w:val="0064463F"/>
    <w:rsid w:val="00653074"/>
    <w:rsid w:val="00663F99"/>
    <w:rsid w:val="006672C9"/>
    <w:rsid w:val="00667DA9"/>
    <w:rsid w:val="00673366"/>
    <w:rsid w:val="00686A16"/>
    <w:rsid w:val="00687595"/>
    <w:rsid w:val="00696C08"/>
    <w:rsid w:val="0069775E"/>
    <w:rsid w:val="006A0842"/>
    <w:rsid w:val="006A5791"/>
    <w:rsid w:val="006B5D0C"/>
    <w:rsid w:val="006F143E"/>
    <w:rsid w:val="006F2062"/>
    <w:rsid w:val="00706D82"/>
    <w:rsid w:val="00716CCF"/>
    <w:rsid w:val="00733AFD"/>
    <w:rsid w:val="00743742"/>
    <w:rsid w:val="007619C4"/>
    <w:rsid w:val="007677B0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2570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D6AEF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06CA"/>
    <w:rsid w:val="009950AF"/>
    <w:rsid w:val="00995FEC"/>
    <w:rsid w:val="009A58CF"/>
    <w:rsid w:val="009B797B"/>
    <w:rsid w:val="009E7AE1"/>
    <w:rsid w:val="00A26DEB"/>
    <w:rsid w:val="00A35060"/>
    <w:rsid w:val="00A42E45"/>
    <w:rsid w:val="00A60FE3"/>
    <w:rsid w:val="00A67C04"/>
    <w:rsid w:val="00A778BE"/>
    <w:rsid w:val="00A9732D"/>
    <w:rsid w:val="00AB390F"/>
    <w:rsid w:val="00AB5DB1"/>
    <w:rsid w:val="00AB7658"/>
    <w:rsid w:val="00AC25E9"/>
    <w:rsid w:val="00AC750A"/>
    <w:rsid w:val="00AE0A71"/>
    <w:rsid w:val="00AF08EB"/>
    <w:rsid w:val="00B009C7"/>
    <w:rsid w:val="00B01147"/>
    <w:rsid w:val="00B11D13"/>
    <w:rsid w:val="00B130AB"/>
    <w:rsid w:val="00B15FBC"/>
    <w:rsid w:val="00B16A0B"/>
    <w:rsid w:val="00B17D07"/>
    <w:rsid w:val="00B35B8F"/>
    <w:rsid w:val="00B449D4"/>
    <w:rsid w:val="00B464B7"/>
    <w:rsid w:val="00B4753C"/>
    <w:rsid w:val="00B56619"/>
    <w:rsid w:val="00B60650"/>
    <w:rsid w:val="00B71BF4"/>
    <w:rsid w:val="00B747D2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22DE"/>
    <w:rsid w:val="00C86FEC"/>
    <w:rsid w:val="00C95763"/>
    <w:rsid w:val="00CA3A88"/>
    <w:rsid w:val="00CC19C8"/>
    <w:rsid w:val="00CC7DA9"/>
    <w:rsid w:val="00CD0F4F"/>
    <w:rsid w:val="00CD3881"/>
    <w:rsid w:val="00CE1DB9"/>
    <w:rsid w:val="00CE37BF"/>
    <w:rsid w:val="00CE4351"/>
    <w:rsid w:val="00CE71F7"/>
    <w:rsid w:val="00CF617F"/>
    <w:rsid w:val="00D15292"/>
    <w:rsid w:val="00D34AB6"/>
    <w:rsid w:val="00D37948"/>
    <w:rsid w:val="00D37B7F"/>
    <w:rsid w:val="00D51D5A"/>
    <w:rsid w:val="00D63F50"/>
    <w:rsid w:val="00D66DBA"/>
    <w:rsid w:val="00D7051B"/>
    <w:rsid w:val="00D73C9A"/>
    <w:rsid w:val="00D829BA"/>
    <w:rsid w:val="00D87BF1"/>
    <w:rsid w:val="00D94047"/>
    <w:rsid w:val="00DB7EC6"/>
    <w:rsid w:val="00DC2315"/>
    <w:rsid w:val="00DC6FD1"/>
    <w:rsid w:val="00DE0144"/>
    <w:rsid w:val="00DE5E1F"/>
    <w:rsid w:val="00DF2937"/>
    <w:rsid w:val="00DF7A6B"/>
    <w:rsid w:val="00E00509"/>
    <w:rsid w:val="00E00654"/>
    <w:rsid w:val="00E06874"/>
    <w:rsid w:val="00E156A7"/>
    <w:rsid w:val="00E36832"/>
    <w:rsid w:val="00E3739B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3BA8"/>
    <w:rsid w:val="00EE62A3"/>
    <w:rsid w:val="00EF5FC0"/>
    <w:rsid w:val="00F04A0A"/>
    <w:rsid w:val="00F14EB9"/>
    <w:rsid w:val="00F24236"/>
    <w:rsid w:val="00F2552B"/>
    <w:rsid w:val="00F2594A"/>
    <w:rsid w:val="00F27B05"/>
    <w:rsid w:val="00F42ABB"/>
    <w:rsid w:val="00F511C0"/>
    <w:rsid w:val="00F52CE8"/>
    <w:rsid w:val="00F84BDE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3192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User</cp:lastModifiedBy>
  <cp:revision>17</cp:revision>
  <cp:lastPrinted>2020-01-28T04:30:00Z</cp:lastPrinted>
  <dcterms:created xsi:type="dcterms:W3CDTF">2016-12-12T04:03:00Z</dcterms:created>
  <dcterms:modified xsi:type="dcterms:W3CDTF">2020-01-28T04:30:00Z</dcterms:modified>
</cp:coreProperties>
</file>