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6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F921CD" w:rsidRPr="00AF1E29" w:rsidTr="00F921CD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 xml:space="preserve">Башкортостан Республикаһы 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Хәйбулла районы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муниципаль районының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Федоровка ауыл советы ауыл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 xml:space="preserve"> биләмәһе 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F921CD" w:rsidRPr="00F921CD" w:rsidRDefault="00F921CD" w:rsidP="00F921C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921CD">
              <w:rPr>
                <w:rFonts w:ascii="Times New Roman" w:hAnsi="Times New Roman"/>
                <w:sz w:val="28"/>
                <w:szCs w:val="28"/>
                <w:lang w:val="be-BY"/>
              </w:rPr>
            </w:r>
            <w:r w:rsidRPr="00F921CD">
              <w:rPr>
                <w:rFonts w:ascii="Times New Roman" w:hAnsi="Times New Roman"/>
                <w:sz w:val="28"/>
                <w:szCs w:val="28"/>
                <w:lang w:val="be-BY"/>
              </w:rPr>
              <w:pict>
                <v:group id="_x0000_s1028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Совет сельского поселения      Федоровский сельсовет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 xml:space="preserve"> Хайбуллинский район</w:t>
            </w:r>
          </w:p>
          <w:p w:rsidR="00F921CD" w:rsidRPr="00F921CD" w:rsidRDefault="00F921CD" w:rsidP="00F921C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1CD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F921CD" w:rsidRPr="00F921CD" w:rsidRDefault="00F921CD" w:rsidP="00F9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</w:tc>
      </w:tr>
    </w:tbl>
    <w:p w:rsidR="004012A2" w:rsidRPr="004012A2" w:rsidRDefault="00E54787" w:rsidP="00E54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2536357</wp:posOffset>
            </wp:positionH>
            <wp:positionV relativeFrom="paragraph">
              <wp:posOffset>-323048</wp:posOffset>
            </wp:positionV>
            <wp:extent cx="921920" cy="1143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12A2" w:rsidRPr="004012A2" w:rsidRDefault="004012A2" w:rsidP="00E54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787" w:rsidRPr="003A1370" w:rsidRDefault="003A1370" w:rsidP="003A13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</w:t>
      </w:r>
      <w:r w:rsidRPr="003A1370">
        <w:rPr>
          <w:rFonts w:ascii="Times New Roman" w:hAnsi="Times New Roman" w:cs="Times New Roman"/>
          <w:b/>
          <w:sz w:val="28"/>
          <w:szCs w:val="28"/>
        </w:rPr>
        <w:t xml:space="preserve"> А Р А Р                                                                           </w:t>
      </w:r>
      <w:r w:rsidRPr="003A1370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012A2" w:rsidRPr="003A1370" w:rsidRDefault="004012A2" w:rsidP="003A137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7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3A1370" w:rsidRPr="003A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370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224350" w:rsidRPr="003A1370">
        <w:rPr>
          <w:rFonts w:ascii="Times New Roman" w:hAnsi="Times New Roman" w:cs="Times New Roman"/>
          <w:b/>
          <w:sz w:val="28"/>
          <w:szCs w:val="28"/>
        </w:rPr>
        <w:t>Федоровский сельсовет</w:t>
      </w:r>
      <w:r w:rsidR="003A1370" w:rsidRPr="003A1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37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24350" w:rsidRPr="003A1370"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3A13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3A1370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7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3A1370" w:rsidRDefault="004012A2" w:rsidP="00E547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2A2" w:rsidRPr="004012A2" w:rsidRDefault="004012A2" w:rsidP="00E547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24350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4350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E547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224350">
        <w:rPr>
          <w:rFonts w:ascii="Times New Roman" w:hAnsi="Times New Roman" w:cs="Times New Roman"/>
          <w:sz w:val="28"/>
          <w:szCs w:val="28"/>
        </w:rPr>
        <w:t xml:space="preserve">Федоровский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24350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24350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224350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224350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224350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E54787" w:rsidRDefault="00E54787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87" w:rsidRDefault="00E54787" w:rsidP="00E54787"/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7024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54787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Лебедева Н.С.</w:t>
      </w:r>
      <w:r w:rsidRPr="00702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4787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87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Федоровка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октября</w:t>
      </w:r>
      <w:r w:rsidRPr="007024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024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4FB">
        <w:rPr>
          <w:rFonts w:ascii="Times New Roman" w:hAnsi="Times New Roman" w:cs="Times New Roman"/>
          <w:sz w:val="28"/>
          <w:szCs w:val="28"/>
        </w:rPr>
        <w:t>№ Р-</w:t>
      </w:r>
      <w:r>
        <w:rPr>
          <w:rFonts w:ascii="Times New Roman" w:hAnsi="Times New Roman" w:cs="Times New Roman"/>
          <w:sz w:val="28"/>
          <w:szCs w:val="28"/>
        </w:rPr>
        <w:t xml:space="preserve"> 39/76</w:t>
      </w:r>
    </w:p>
    <w:p w:rsidR="00E54787" w:rsidRPr="007024FB" w:rsidRDefault="00E54787" w:rsidP="00E5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AB" w:rsidRPr="00E54787" w:rsidRDefault="00A829AB" w:rsidP="00E54787"/>
    <w:sectPr w:rsidR="00A829AB" w:rsidRPr="00E54787" w:rsidSect="00B8536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3E6" w:rsidRDefault="00FF23E6" w:rsidP="00B8536C">
      <w:pPr>
        <w:spacing w:after="0" w:line="240" w:lineRule="auto"/>
      </w:pPr>
      <w:r>
        <w:separator/>
      </w:r>
    </w:p>
  </w:endnote>
  <w:endnote w:type="continuationSeparator" w:id="1">
    <w:p w:rsidR="00FF23E6" w:rsidRDefault="00FF23E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3E6" w:rsidRDefault="00FF23E6" w:rsidP="00B8536C">
      <w:pPr>
        <w:spacing w:after="0" w:line="240" w:lineRule="auto"/>
      </w:pPr>
      <w:r>
        <w:separator/>
      </w:r>
    </w:p>
  </w:footnote>
  <w:footnote w:type="continuationSeparator" w:id="1">
    <w:p w:rsidR="00FF23E6" w:rsidRDefault="00FF23E6" w:rsidP="00B8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31A51"/>
    <w:rsid w:val="000414D2"/>
    <w:rsid w:val="00041F4C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D4645"/>
    <w:rsid w:val="001E45F1"/>
    <w:rsid w:val="001F2978"/>
    <w:rsid w:val="00200957"/>
    <w:rsid w:val="0021510E"/>
    <w:rsid w:val="00224350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1370"/>
    <w:rsid w:val="003A6C2C"/>
    <w:rsid w:val="003D01B6"/>
    <w:rsid w:val="004012A2"/>
    <w:rsid w:val="00456425"/>
    <w:rsid w:val="004A11B0"/>
    <w:rsid w:val="004A36DF"/>
    <w:rsid w:val="004A700C"/>
    <w:rsid w:val="00525DC5"/>
    <w:rsid w:val="00555AE0"/>
    <w:rsid w:val="00584D49"/>
    <w:rsid w:val="005A69A9"/>
    <w:rsid w:val="005E4F92"/>
    <w:rsid w:val="005F010D"/>
    <w:rsid w:val="00611AE7"/>
    <w:rsid w:val="006344A2"/>
    <w:rsid w:val="00646585"/>
    <w:rsid w:val="00665A49"/>
    <w:rsid w:val="0069710E"/>
    <w:rsid w:val="006B2D20"/>
    <w:rsid w:val="006B4BDB"/>
    <w:rsid w:val="007013EF"/>
    <w:rsid w:val="00711EEB"/>
    <w:rsid w:val="0074420D"/>
    <w:rsid w:val="007941AF"/>
    <w:rsid w:val="007F0EF3"/>
    <w:rsid w:val="0083110E"/>
    <w:rsid w:val="008960FF"/>
    <w:rsid w:val="008D5EA4"/>
    <w:rsid w:val="008F051F"/>
    <w:rsid w:val="00920CE3"/>
    <w:rsid w:val="00934F21"/>
    <w:rsid w:val="00973AB3"/>
    <w:rsid w:val="00974A47"/>
    <w:rsid w:val="00983B0C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00A04"/>
    <w:rsid w:val="00C27745"/>
    <w:rsid w:val="00C36C74"/>
    <w:rsid w:val="00C4498C"/>
    <w:rsid w:val="00C661BD"/>
    <w:rsid w:val="00CC532D"/>
    <w:rsid w:val="00CD6370"/>
    <w:rsid w:val="00CE6EEC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54787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705A4"/>
    <w:rsid w:val="00F921CD"/>
    <w:rsid w:val="00FA25A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12</cp:revision>
  <cp:lastPrinted>2018-10-16T12:04:00Z</cp:lastPrinted>
  <dcterms:created xsi:type="dcterms:W3CDTF">2018-08-23T09:15:00Z</dcterms:created>
  <dcterms:modified xsi:type="dcterms:W3CDTF">2018-10-16T12:15:00Z</dcterms:modified>
</cp:coreProperties>
</file>